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8F41" w14:textId="566922B7" w:rsidR="00203A17" w:rsidRPr="00203A17" w:rsidRDefault="00203A17" w:rsidP="00203A17">
      <w:pPr>
        <w:rPr>
          <w:b/>
          <w:bCs/>
          <w:u w:val="single"/>
        </w:rPr>
      </w:pPr>
      <w:r w:rsidRPr="00203A17">
        <w:rPr>
          <w:rFonts w:ascii="Segoe UI Emoji" w:hAnsi="Segoe UI Emoji" w:cs="Segoe UI Emoji"/>
          <w:b/>
          <w:bCs/>
          <w:u w:val="single"/>
        </w:rPr>
        <w:t>🏥</w:t>
      </w:r>
      <w:r w:rsidRPr="00203A17">
        <w:rPr>
          <w:b/>
          <w:bCs/>
          <w:u w:val="single"/>
        </w:rPr>
        <w:t xml:space="preserve"> Bootle Village Surgery CCTV Policy 2025</w:t>
      </w:r>
    </w:p>
    <w:p w14:paraId="29CC9325" w14:textId="77777777" w:rsidR="00203A17" w:rsidRPr="00203A17" w:rsidRDefault="00203A17" w:rsidP="00203A17">
      <w:pPr>
        <w:rPr>
          <w:b/>
          <w:bCs/>
        </w:rPr>
      </w:pPr>
      <w:r w:rsidRPr="00203A17">
        <w:rPr>
          <w:b/>
          <w:bCs/>
        </w:rPr>
        <w:t>1. Policy Statement</w:t>
      </w:r>
    </w:p>
    <w:p w14:paraId="3218E145" w14:textId="6AB00EB2" w:rsidR="00203A17" w:rsidRDefault="00203A17" w:rsidP="00203A17">
      <w:r>
        <w:t xml:space="preserve">This policy outlines the use of Closed-Circuit Television (CCTV) systems within </w:t>
      </w:r>
      <w:r w:rsidR="00BD6457">
        <w:t>Bootle Village Surgery</w:t>
      </w:r>
      <w:r>
        <w:t xml:space="preserve"> to ensure safety, prevent crime, and maintain the privacy rights of patients, staff, and visitors in compliance with UK GDPR, the Data Protection Act 2018, and NHS confidentiality principles.</w:t>
      </w:r>
    </w:p>
    <w:p w14:paraId="7F86E762" w14:textId="77777777" w:rsidR="00203A17" w:rsidRPr="00203A17" w:rsidRDefault="00203A17" w:rsidP="00203A17">
      <w:pPr>
        <w:rPr>
          <w:b/>
          <w:bCs/>
          <w:u w:val="single"/>
        </w:rPr>
      </w:pPr>
      <w:r w:rsidRPr="00203A17">
        <w:rPr>
          <w:b/>
          <w:bCs/>
          <w:u w:val="single"/>
        </w:rPr>
        <w:t>2. Purpose of CCTV</w:t>
      </w:r>
    </w:p>
    <w:p w14:paraId="2293A39F" w14:textId="22E3DEA1" w:rsidR="00203A17" w:rsidRDefault="00203A17" w:rsidP="00203A17">
      <w:r>
        <w:t>To protect patients, staff, and premises from crime or anti-social behaviour.</w:t>
      </w:r>
    </w:p>
    <w:p w14:paraId="25D4F9C4" w14:textId="1AE095D7" w:rsidR="00203A17" w:rsidRDefault="00203A17" w:rsidP="00203A17">
      <w:r>
        <w:t>To ensure staff and patient safety in public areas.</w:t>
      </w:r>
    </w:p>
    <w:p w14:paraId="70B49E08" w14:textId="34E11A4B" w:rsidR="00203A17" w:rsidRDefault="00203A17" w:rsidP="00203A17">
      <w:r>
        <w:t>To assist in the investigation of incidents when necessary.</w:t>
      </w:r>
    </w:p>
    <w:p w14:paraId="5C1F9F67" w14:textId="77777777" w:rsidR="00203A17" w:rsidRPr="00203A17" w:rsidRDefault="00203A17" w:rsidP="00203A17">
      <w:pPr>
        <w:rPr>
          <w:b/>
          <w:bCs/>
          <w:u w:val="single"/>
        </w:rPr>
      </w:pPr>
      <w:r w:rsidRPr="00203A17">
        <w:rPr>
          <w:b/>
          <w:bCs/>
          <w:u w:val="single"/>
        </w:rPr>
        <w:t>3. Legal Basis</w:t>
      </w:r>
    </w:p>
    <w:p w14:paraId="75AF0E8B" w14:textId="3ABA8A22" w:rsidR="00203A17" w:rsidRDefault="00203A17" w:rsidP="00203A17">
      <w:r>
        <w:t>CCTV is operated under the lawful basis of legitimate interest and compliance with legal obligations. Usage is guided by:</w:t>
      </w:r>
    </w:p>
    <w:p w14:paraId="0E4D8DD5" w14:textId="215220DB" w:rsidR="00203A17" w:rsidRDefault="00203A17" w:rsidP="00203A17">
      <w:r>
        <w:t>Data Protection Act 2018</w:t>
      </w:r>
    </w:p>
    <w:p w14:paraId="4C5775C0" w14:textId="66C3379D" w:rsidR="00203A17" w:rsidRDefault="00203A17" w:rsidP="00203A17">
      <w:r>
        <w:t>UK GDPR</w:t>
      </w:r>
    </w:p>
    <w:p w14:paraId="76019A57" w14:textId="6A397BDE" w:rsidR="00203A17" w:rsidRDefault="00203A17" w:rsidP="00203A17">
      <w:r>
        <w:t>Surveillance Camera Code of Practice</w:t>
      </w:r>
    </w:p>
    <w:p w14:paraId="368AF7FD" w14:textId="77777777" w:rsidR="00203A17" w:rsidRPr="00203A17" w:rsidRDefault="00203A17" w:rsidP="00203A17">
      <w:pPr>
        <w:rPr>
          <w:b/>
          <w:bCs/>
          <w:u w:val="single"/>
        </w:rPr>
      </w:pPr>
      <w:r w:rsidRPr="00203A17">
        <w:rPr>
          <w:b/>
          <w:bCs/>
          <w:u w:val="single"/>
        </w:rPr>
        <w:t>4. Scope of Coverage</w:t>
      </w:r>
    </w:p>
    <w:p w14:paraId="3745FCFA" w14:textId="4B112B06" w:rsidR="00203A17" w:rsidRDefault="00203A17" w:rsidP="00203A17">
      <w:r>
        <w:t xml:space="preserve">Cameras are located in public access areas only </w:t>
      </w:r>
      <w:r w:rsidR="00BD6457">
        <w:t>entrances, waiting</w:t>
      </w:r>
      <w:r>
        <w:t xml:space="preserve"> room and staff car park</w:t>
      </w:r>
    </w:p>
    <w:p w14:paraId="0A7143E1" w14:textId="7144AF0F" w:rsidR="00203A17" w:rsidRDefault="00203A17" w:rsidP="00203A17">
      <w:r>
        <w:t>No cameras are placed in consulting rooms, treatment rooms, or staff break areas.</w:t>
      </w:r>
    </w:p>
    <w:p w14:paraId="3645C36A" w14:textId="77777777" w:rsidR="00203A17" w:rsidRPr="00203A17" w:rsidRDefault="00203A17" w:rsidP="00203A17">
      <w:pPr>
        <w:rPr>
          <w:b/>
          <w:bCs/>
          <w:u w:val="single"/>
        </w:rPr>
      </w:pPr>
      <w:r w:rsidRPr="00203A17">
        <w:rPr>
          <w:b/>
          <w:bCs/>
          <w:u w:val="single"/>
        </w:rPr>
        <w:t>5. Signage</w:t>
      </w:r>
    </w:p>
    <w:p w14:paraId="516C434F" w14:textId="72FCCD8E" w:rsidR="00203A17" w:rsidRDefault="00203A17" w:rsidP="00203A17">
      <w:r>
        <w:t>Clear signage is displayed throughout the premises to inform individuals that CCTV is in operation.</w:t>
      </w:r>
    </w:p>
    <w:p w14:paraId="415F01EB" w14:textId="77777777" w:rsidR="00203A17" w:rsidRPr="00203A17" w:rsidRDefault="00203A17" w:rsidP="00203A17">
      <w:pPr>
        <w:rPr>
          <w:b/>
          <w:bCs/>
          <w:u w:val="single"/>
        </w:rPr>
      </w:pPr>
      <w:r w:rsidRPr="00203A17">
        <w:rPr>
          <w:b/>
          <w:bCs/>
          <w:u w:val="single"/>
        </w:rPr>
        <w:t>6. Data Retention</w:t>
      </w:r>
    </w:p>
    <w:p w14:paraId="5557546D" w14:textId="07215A5B" w:rsidR="00203A17" w:rsidRDefault="00203A17" w:rsidP="00203A17">
      <w:r>
        <w:t>Footage is retained for 21 days unless required for an ongoing investigation.</w:t>
      </w:r>
    </w:p>
    <w:p w14:paraId="7018A36D" w14:textId="6C5F1F5E" w:rsidR="00203A17" w:rsidRDefault="00203A17" w:rsidP="00203A17">
      <w:r>
        <w:t>Data is securely stored and automatically deleted after the retention period.</w:t>
      </w:r>
    </w:p>
    <w:p w14:paraId="7C42818F" w14:textId="77777777" w:rsidR="00203A17" w:rsidRPr="00203A17" w:rsidRDefault="00203A17" w:rsidP="00203A17">
      <w:pPr>
        <w:rPr>
          <w:b/>
          <w:bCs/>
          <w:u w:val="single"/>
        </w:rPr>
      </w:pPr>
      <w:r w:rsidRPr="00203A17">
        <w:rPr>
          <w:b/>
          <w:bCs/>
          <w:u w:val="single"/>
        </w:rPr>
        <w:t>7. Access &amp; Disclosure</w:t>
      </w:r>
    </w:p>
    <w:p w14:paraId="78BC472D" w14:textId="18434DAA" w:rsidR="00203A17" w:rsidRDefault="00203A17" w:rsidP="00203A17">
      <w:r>
        <w:t>Access to footage is restricted to authorised personnel only.</w:t>
      </w:r>
    </w:p>
    <w:p w14:paraId="20C445CF" w14:textId="6907379D" w:rsidR="00203A17" w:rsidRDefault="00203A17" w:rsidP="00203A17">
      <w:r>
        <w:t>Disclosure may be made to law enforcement where legally required.</w:t>
      </w:r>
    </w:p>
    <w:p w14:paraId="1418DB60" w14:textId="54ED7F77" w:rsidR="00203A17" w:rsidRDefault="00203A17" w:rsidP="00203A17">
      <w:r>
        <w:t>Individuals may request access to footage featuring themselves via a Subject Access Request (SAR), subject to appropriate redaction.</w:t>
      </w:r>
    </w:p>
    <w:p w14:paraId="18A4ADD2" w14:textId="77777777" w:rsidR="00203A17" w:rsidRPr="00203A17" w:rsidRDefault="00203A17" w:rsidP="00203A17">
      <w:pPr>
        <w:rPr>
          <w:b/>
          <w:bCs/>
          <w:u w:val="single"/>
        </w:rPr>
      </w:pPr>
      <w:r w:rsidRPr="00203A17">
        <w:rPr>
          <w:b/>
          <w:bCs/>
          <w:u w:val="single"/>
        </w:rPr>
        <w:t>8. Security &amp; Management</w:t>
      </w:r>
    </w:p>
    <w:p w14:paraId="0A689030" w14:textId="49CC89D0" w:rsidR="00203A17" w:rsidRDefault="00203A17" w:rsidP="00203A17">
      <w:r>
        <w:lastRenderedPageBreak/>
        <w:t>CCTV systems are password-protected.</w:t>
      </w:r>
    </w:p>
    <w:p w14:paraId="32859F60" w14:textId="46CFD74A" w:rsidR="00203A17" w:rsidRDefault="00203A17" w:rsidP="00203A17">
      <w:r>
        <w:t>Regular checks are made to ensure functionality and data security.</w:t>
      </w:r>
    </w:p>
    <w:p w14:paraId="6D622DC4" w14:textId="2E830CD9" w:rsidR="00203A17" w:rsidRDefault="00203A17" w:rsidP="00203A17">
      <w:r>
        <w:t>Any faults or incidents involving CCTV are logged and investigated.</w:t>
      </w:r>
    </w:p>
    <w:p w14:paraId="6A82BA47" w14:textId="77777777" w:rsidR="00203A17" w:rsidRPr="00203A17" w:rsidRDefault="00203A17" w:rsidP="00203A17">
      <w:pPr>
        <w:rPr>
          <w:u w:val="single"/>
        </w:rPr>
      </w:pPr>
      <w:r w:rsidRPr="00203A17">
        <w:rPr>
          <w:u w:val="single"/>
        </w:rPr>
        <w:t>9. Governance</w:t>
      </w:r>
    </w:p>
    <w:p w14:paraId="5B1475CC" w14:textId="7490A7F0" w:rsidR="00203A17" w:rsidRDefault="00203A17" w:rsidP="00203A17">
      <w:r>
        <w:t>Oversight is provided by the Practice Manager in consultation with the Data Protection Officer (DPO) or Caldicott Guardian.</w:t>
      </w:r>
    </w:p>
    <w:p w14:paraId="6F82E5BF" w14:textId="3AF7EAB4" w:rsidR="00A77E3E" w:rsidRDefault="00203A17" w:rsidP="00203A17">
      <w:r>
        <w:t>The policy is reviewed annually or sooner if required by law or technological changes.</w:t>
      </w:r>
    </w:p>
    <w:p w14:paraId="26D8B142" w14:textId="67CC5E51" w:rsidR="00203A17" w:rsidRDefault="00203A17" w:rsidP="00203A17">
      <w:r>
        <w:t>Nikki Reid</w:t>
      </w:r>
    </w:p>
    <w:p w14:paraId="30B65E46" w14:textId="0A8A1AA7" w:rsidR="00203A17" w:rsidRDefault="00203A17" w:rsidP="00203A17">
      <w:r>
        <w:t>Practice Manager</w:t>
      </w:r>
    </w:p>
    <w:sectPr w:rsidR="00203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17"/>
    <w:rsid w:val="000F21AD"/>
    <w:rsid w:val="00203A17"/>
    <w:rsid w:val="002A3FEA"/>
    <w:rsid w:val="0069714B"/>
    <w:rsid w:val="00A405F0"/>
    <w:rsid w:val="00A77E3E"/>
    <w:rsid w:val="00BD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F30B9"/>
  <w15:chartTrackingRefBased/>
  <w15:docId w15:val="{2C87D55E-CE08-4755-AF33-80805F49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A1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A1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A1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A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A1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A1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A1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A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A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A1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A1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A1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A1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Nikki (NHS CHESHIRE AND MERSEYSIDE ICB - 01T)</dc:creator>
  <cp:keywords/>
  <dc:description/>
  <cp:lastModifiedBy>REID, Nikki (NHS CHESHIRE AND MERSEYSIDE ICB - 01T)</cp:lastModifiedBy>
  <cp:revision>2</cp:revision>
  <dcterms:created xsi:type="dcterms:W3CDTF">2025-07-21T07:15:00Z</dcterms:created>
  <dcterms:modified xsi:type="dcterms:W3CDTF">2025-07-21T07:49:00Z</dcterms:modified>
</cp:coreProperties>
</file>